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CB820" w14:textId="77777777" w:rsidR="007531FB" w:rsidRDefault="00C6704B" w:rsidP="005378D7">
      <w:pPr>
        <w:pStyle w:val="Titre1"/>
        <w:jc w:val="both"/>
      </w:pPr>
      <w:r>
        <w:t>Le bien-être soutenable comme boussole :</w:t>
      </w:r>
      <w:r w:rsidR="00CF20C2">
        <w:t xml:space="preserve"> l’expérience</w:t>
      </w:r>
      <w:r>
        <w:t xml:space="preserve"> de la métropole grenobloise</w:t>
      </w:r>
    </w:p>
    <w:p w14:paraId="1430949F" w14:textId="77777777" w:rsidR="00C6704B" w:rsidRDefault="00C6704B" w:rsidP="005378D7">
      <w:pPr>
        <w:jc w:val="both"/>
      </w:pPr>
    </w:p>
    <w:p w14:paraId="26C247F1" w14:textId="456130AC" w:rsidR="00FD66BA" w:rsidRPr="00FD66BA" w:rsidRDefault="000F7F0D" w:rsidP="005378D7">
      <w:pPr>
        <w:jc w:val="both"/>
        <w:rPr>
          <w:b/>
          <w:i/>
        </w:rPr>
      </w:pPr>
      <w:r>
        <w:rPr>
          <w:b/>
          <w:i/>
        </w:rPr>
        <w:t>Construire un indice de bien-être avec ceux qui ont les moyens de le faire évoluer. Tel est le pari d’</w:t>
      </w:r>
      <w:r w:rsidR="00FD66BA">
        <w:rPr>
          <w:b/>
          <w:i/>
        </w:rPr>
        <w:t xml:space="preserve">IBEST, </w:t>
      </w:r>
      <w:r w:rsidR="00FD66BA" w:rsidRPr="00FD66BA">
        <w:rPr>
          <w:b/>
          <w:i/>
        </w:rPr>
        <w:t>indice de bien-être sou</w:t>
      </w:r>
      <w:r w:rsidR="00FD66BA">
        <w:rPr>
          <w:b/>
          <w:i/>
        </w:rPr>
        <w:t xml:space="preserve">tenable et territorialisé, </w:t>
      </w:r>
      <w:r>
        <w:rPr>
          <w:b/>
          <w:i/>
        </w:rPr>
        <w:t xml:space="preserve">bâti de manière très collaborative </w:t>
      </w:r>
      <w:r w:rsidR="00FD66BA" w:rsidRPr="00FD66BA">
        <w:rPr>
          <w:b/>
          <w:i/>
        </w:rPr>
        <w:t xml:space="preserve">sur le territoire grenoblois. Grenoble-Alpes Métropole, engagée dans le projet depuis son origine, a choisi de l’intégrer </w:t>
      </w:r>
      <w:r>
        <w:rPr>
          <w:b/>
          <w:i/>
        </w:rPr>
        <w:t xml:space="preserve">petit à petit </w:t>
      </w:r>
      <w:r w:rsidR="00FD66BA" w:rsidRPr="00FD66BA">
        <w:rPr>
          <w:b/>
          <w:i/>
        </w:rPr>
        <w:t>dans son pil</w:t>
      </w:r>
      <w:r w:rsidR="00FD66BA">
        <w:rPr>
          <w:b/>
          <w:i/>
        </w:rPr>
        <w:t>ot</w:t>
      </w:r>
      <w:r w:rsidR="007359E4">
        <w:rPr>
          <w:b/>
          <w:i/>
        </w:rPr>
        <w:t xml:space="preserve">age des politiques publiques. Et </w:t>
      </w:r>
      <w:r w:rsidR="00FD66BA">
        <w:rPr>
          <w:b/>
          <w:i/>
        </w:rPr>
        <w:t>de se laisser ainsi bousculer par les 8 dimensions portées par IBEST.</w:t>
      </w:r>
    </w:p>
    <w:p w14:paraId="064EBA87" w14:textId="77777777" w:rsidR="00FD66BA" w:rsidRDefault="00FD66BA" w:rsidP="005378D7">
      <w:pPr>
        <w:jc w:val="both"/>
      </w:pPr>
    </w:p>
    <w:p w14:paraId="15567595" w14:textId="77777777" w:rsidR="00A63965" w:rsidRDefault="00C6704B" w:rsidP="005378D7">
      <w:pPr>
        <w:jc w:val="both"/>
      </w:pPr>
      <w:r>
        <w:t xml:space="preserve">Tout a commencé dans l’observation sociale, au début des années 2000. Un petit groupe d’élus et de professionnels se heurtent à cette difficulté : les indicateurs sociaux existants ne rendent compte que de dysfonctionnements. Taux de précarité, taux de chômage, de délinquance… indicateurs « à charge », ils servent à alerter, notamment pour identifier des territoires qui ont besoin d’une intervention publique renforcée (les quartiers prioritaires de la politique de la ville). Mais cette focalisation a son revers : elle </w:t>
      </w:r>
      <w:r w:rsidR="00472210">
        <w:t>stigmatise</w:t>
      </w:r>
      <w:r>
        <w:t xml:space="preserve">. </w:t>
      </w:r>
    </w:p>
    <w:p w14:paraId="30E992DF" w14:textId="2F20526F" w:rsidR="00C6704B" w:rsidRDefault="00C6704B" w:rsidP="005378D7">
      <w:pPr>
        <w:jc w:val="both"/>
      </w:pPr>
      <w:r>
        <w:t>Or, dans ces quartiers comme ailleurs</w:t>
      </w:r>
      <w:r w:rsidR="00A63965">
        <w:t xml:space="preserve">, il existe des richesses, peut-être moins monétaires qu’ailleurs : engagement, solidarité, entre-aide... Un tableau de bord qui passe sous silence </w:t>
      </w:r>
      <w:r w:rsidR="009A1893">
        <w:t>cette réalité-là</w:t>
      </w:r>
      <w:r w:rsidR="00A63965">
        <w:t xml:space="preserve"> est faussé et risque de mal orienter les décisions : les « </w:t>
      </w:r>
      <w:proofErr w:type="spellStart"/>
      <w:r w:rsidR="00A63965">
        <w:t>capabilities</w:t>
      </w:r>
      <w:proofErr w:type="spellEnd"/>
      <w:r w:rsidR="00A63965">
        <w:t> » doivent être compris</w:t>
      </w:r>
      <w:r w:rsidR="000F7F0D">
        <w:t>es</w:t>
      </w:r>
      <w:r w:rsidR="00A63965">
        <w:t xml:space="preserve"> pour mieux construire l’action publique, en l’ajustant mieux aux besoins. </w:t>
      </w:r>
    </w:p>
    <w:p w14:paraId="0BB44244" w14:textId="32821F0C" w:rsidR="00A63965" w:rsidRDefault="009A1893" w:rsidP="005378D7">
      <w:pPr>
        <w:pStyle w:val="Titre2"/>
        <w:jc w:val="both"/>
      </w:pPr>
      <w:r>
        <w:t>Une</w:t>
      </w:r>
      <w:r w:rsidR="00A63965">
        <w:t xml:space="preserve"> construction</w:t>
      </w:r>
      <w:r>
        <w:t xml:space="preserve"> </w:t>
      </w:r>
      <w:r w:rsidR="000F7F0D">
        <w:t>patiente et pragmatique</w:t>
      </w:r>
    </w:p>
    <w:p w14:paraId="1D5EE899" w14:textId="3634A940" w:rsidR="00A63965" w:rsidRDefault="00B167D7" w:rsidP="005378D7">
      <w:pPr>
        <w:jc w:val="both"/>
      </w:pPr>
      <w:r>
        <w:rPr>
          <w:noProof/>
          <w:lang w:eastAsia="fr-FR"/>
        </w:rPr>
        <w:drawing>
          <wp:anchor distT="0" distB="0" distL="114300" distR="114300" simplePos="0" relativeHeight="251658240" behindDoc="0" locked="0" layoutInCell="1" allowOverlap="1" wp14:anchorId="5BCC814B" wp14:editId="5E3EEA7B">
            <wp:simplePos x="0" y="0"/>
            <wp:positionH relativeFrom="column">
              <wp:posOffset>-121920</wp:posOffset>
            </wp:positionH>
            <wp:positionV relativeFrom="paragraph">
              <wp:posOffset>1626235</wp:posOffset>
            </wp:positionV>
            <wp:extent cx="3657600" cy="23761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ches-bien-etre_FR-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2376170"/>
                    </a:xfrm>
                    <a:prstGeom prst="rect">
                      <a:avLst/>
                    </a:prstGeom>
                  </pic:spPr>
                </pic:pic>
              </a:graphicData>
            </a:graphic>
            <wp14:sizeRelH relativeFrom="page">
              <wp14:pctWidth>0</wp14:pctWidth>
            </wp14:sizeRelH>
            <wp14:sizeRelV relativeFrom="page">
              <wp14:pctHeight>0</wp14:pctHeight>
            </wp14:sizeRelV>
          </wp:anchor>
        </w:drawing>
      </w:r>
      <w:r w:rsidR="00A63965">
        <w:t>Cette pr</w:t>
      </w:r>
      <w:r w:rsidR="009A1893">
        <w:t xml:space="preserve">ise de conscience ouvre un </w:t>
      </w:r>
      <w:r w:rsidR="00A63965">
        <w:t>chemin semé d’</w:t>
      </w:r>
      <w:r w:rsidR="00CF20C2">
        <w:t>ornières méthodologiques.</w:t>
      </w:r>
      <w:r w:rsidR="00A63965">
        <w:t xml:space="preserve"> Car qui dit nouveaux indicateurs dit, très prosaïquement, données </w:t>
      </w:r>
      <w:r w:rsidR="00C929BA">
        <w:t>pour les construire</w:t>
      </w:r>
      <w:r w:rsidR="00A63965">
        <w:t xml:space="preserve">. Partir de données existantes et les organiser différemment ? C’est la première option prise, qui a le mérite </w:t>
      </w:r>
      <w:r w:rsidR="00365675">
        <w:t>du moindre coût. Quelques essais intéressants (comme une carte du temps disponible rassemblant les personnes en recherche d’emploi, les parents au foyer, les jeunes retraités…) se heurte</w:t>
      </w:r>
      <w:r w:rsidR="007B2757">
        <w:t>nt</w:t>
      </w:r>
      <w:r w:rsidR="00365675">
        <w:t xml:space="preserve"> rapidement à des questions</w:t>
      </w:r>
      <w:r w:rsidR="00C929BA">
        <w:t xml:space="preserve"> de forme (données incomplètes, imprécises, inexistantes) et donc d’interprétation : t</w:t>
      </w:r>
      <w:r w:rsidR="00365675">
        <w:t xml:space="preserve">emps </w:t>
      </w:r>
      <w:r w:rsidR="001A60D4">
        <w:t>libre subi ou</w:t>
      </w:r>
      <w:r w:rsidR="00365675">
        <w:t xml:space="preserve"> choisi ? Est-ce toujours les mêmes qui sont dans plusi</w:t>
      </w:r>
      <w:r w:rsidR="001A60D4">
        <w:t>eurs associations ou des personnes</w:t>
      </w:r>
      <w:r w:rsidR="00365675">
        <w:t xml:space="preserve"> différent</w:t>
      </w:r>
      <w:r w:rsidR="001A60D4">
        <w:t>e</w:t>
      </w:r>
      <w:r w:rsidR="00365675">
        <w:t>s ?</w:t>
      </w:r>
      <w:r w:rsidR="001A60D4">
        <w:t xml:space="preserve"> Comment prendre en compte la solidarité informelle, non repérée par l’institution ? </w:t>
      </w:r>
    </w:p>
    <w:p w14:paraId="5D0DEA68" w14:textId="7C327162" w:rsidR="001A60D4" w:rsidRDefault="009A1893" w:rsidP="005378D7">
      <w:pPr>
        <w:jc w:val="both"/>
      </w:pPr>
      <w:r>
        <w:t xml:space="preserve">Ces tentatives révèlent, en creux, la nécessité de franchir un cap supplémentaire et de se doter de nouvelles données. Le partenariat noué avec l’université de Grenoble-Alpes et notamment le </w:t>
      </w:r>
      <w:hyperlink r:id="rId10" w:history="1">
        <w:r w:rsidR="00FD6610" w:rsidRPr="006238BA">
          <w:rPr>
            <w:rStyle w:val="Lienhypertexte"/>
          </w:rPr>
          <w:t>C</w:t>
        </w:r>
        <w:r w:rsidRPr="006238BA">
          <w:rPr>
            <w:rStyle w:val="Lienhypertexte"/>
          </w:rPr>
          <w:t xml:space="preserve">entre de </w:t>
        </w:r>
        <w:r w:rsidR="00FD6610" w:rsidRPr="006238BA">
          <w:rPr>
            <w:rStyle w:val="Lienhypertexte"/>
          </w:rPr>
          <w:t>R</w:t>
        </w:r>
        <w:r w:rsidRPr="006238BA">
          <w:rPr>
            <w:rStyle w:val="Lienhypertexte"/>
          </w:rPr>
          <w:t xml:space="preserve">echerche en </w:t>
        </w:r>
        <w:r w:rsidR="00FD6610" w:rsidRPr="006238BA">
          <w:rPr>
            <w:rStyle w:val="Lienhypertexte"/>
          </w:rPr>
          <w:t>E</w:t>
        </w:r>
        <w:r w:rsidRPr="006238BA">
          <w:rPr>
            <w:rStyle w:val="Lienhypertexte"/>
          </w:rPr>
          <w:t>conomie de Grenoble</w:t>
        </w:r>
      </w:hyperlink>
      <w:r w:rsidR="00C929BA">
        <w:t xml:space="preserve"> </w:t>
      </w:r>
      <w:r>
        <w:t xml:space="preserve">apporte un niveau d’analyse supplémentaire. L’équipe </w:t>
      </w:r>
      <w:r w:rsidR="00C929BA">
        <w:t xml:space="preserve">pluridisciplinaire </w:t>
      </w:r>
      <w:r>
        <w:t>de chercheurs</w:t>
      </w:r>
      <w:r w:rsidR="00CF20C2">
        <w:t xml:space="preserve">, dirigée par Claudine </w:t>
      </w:r>
      <w:proofErr w:type="spellStart"/>
      <w:r w:rsidR="00CF20C2">
        <w:t>Offredi</w:t>
      </w:r>
      <w:proofErr w:type="spellEnd"/>
      <w:r w:rsidR="00CF20C2">
        <w:rPr>
          <w:rStyle w:val="Appelnotedebasdep"/>
        </w:rPr>
        <w:footnoteReference w:id="1"/>
      </w:r>
      <w:r>
        <w:t xml:space="preserve">, définit </w:t>
      </w:r>
      <w:r>
        <w:lastRenderedPageBreak/>
        <w:t xml:space="preserve">le bien-être comme la tension entre des aspirations personnelles et la </w:t>
      </w:r>
      <w:r w:rsidR="00CF20C2">
        <w:t>capacité à les réaliser (voir schéma :</w:t>
      </w:r>
      <w:r>
        <w:t xml:space="preserve"> le niveau </w:t>
      </w:r>
      <w:r w:rsidR="00CF20C2">
        <w:t xml:space="preserve">horizontal, </w:t>
      </w:r>
      <w:r>
        <w:t>ce qui dépend de l’indivi</w:t>
      </w:r>
      <w:r w:rsidR="00735497">
        <w:t xml:space="preserve">du). Ce niveau individuel est </w:t>
      </w:r>
      <w:r>
        <w:t>lui-même conditionné par</w:t>
      </w:r>
      <w:r w:rsidR="008D343F">
        <w:t xml:space="preserve"> une tension sociale : les contraintes et opportunités offertes à chacun selon le lieu où il réside et sa place dans la société (</w:t>
      </w:r>
      <w:r w:rsidR="00CF20C2">
        <w:t xml:space="preserve">le </w:t>
      </w:r>
      <w:r w:rsidR="008D343F">
        <w:t>niveau vertical</w:t>
      </w:r>
      <w:r w:rsidR="00735497">
        <w:t>,</w:t>
      </w:r>
      <w:r w:rsidR="007B2757">
        <w:t xml:space="preserve"> sur l</w:t>
      </w:r>
      <w:r w:rsidR="000F7F0D">
        <w:t>equel les acteurs publics ont d’avantage</w:t>
      </w:r>
      <w:r w:rsidR="007B2757">
        <w:t xml:space="preserve"> capacité à agir</w:t>
      </w:r>
      <w:r w:rsidR="008D343F">
        <w:t>)</w:t>
      </w:r>
      <w:r w:rsidR="007B2757">
        <w:t>.</w:t>
      </w:r>
    </w:p>
    <w:p w14:paraId="23E813D2" w14:textId="77777777" w:rsidR="00735497" w:rsidRDefault="00C929BA" w:rsidP="005378D7">
      <w:pPr>
        <w:jc w:val="both"/>
      </w:pPr>
      <w:r>
        <w:t>Première brique du projet : la construction de données originales. E</w:t>
      </w:r>
      <w:r w:rsidR="008D343F">
        <w:t xml:space="preserve">n 2012, </w:t>
      </w:r>
      <w:r w:rsidR="00735497">
        <w:t xml:space="preserve">grâce à un soutien exceptionnel de la Région Rhône-Alpes, </w:t>
      </w:r>
      <w:r w:rsidR="008D343F">
        <w:t xml:space="preserve">une large enquête auprès de 1000 habitants de l’agglomération grenobloise </w:t>
      </w:r>
      <w:r w:rsidR="004A4DA3">
        <w:t>permet de combler des zones d’ombre de la statistique existante</w:t>
      </w:r>
      <w:r w:rsidR="008D343F">
        <w:t xml:space="preserve">. Les répondants sont interrogés à la fois sur leur satisfaction à l’égard de certains points (sociabilité, cadre de vie, emploi…), leurs pratiques (nombre de contacts par semaine, type d’aide apportée et reçue, modes de vie…) et leurs aspirations. </w:t>
      </w:r>
    </w:p>
    <w:p w14:paraId="18F50EB0" w14:textId="18C867E9" w:rsidR="008D343F" w:rsidRDefault="00C929BA" w:rsidP="00735497">
      <w:pPr>
        <w:jc w:val="both"/>
      </w:pPr>
      <w:r>
        <w:t>Mais l’intérêt de la démarche v</w:t>
      </w:r>
      <w:r w:rsidR="00735497">
        <w:t>ient des deux briques suivantes :</w:t>
      </w:r>
      <w:r>
        <w:t xml:space="preserve"> l’analyse </w:t>
      </w:r>
      <w:proofErr w:type="spellStart"/>
      <w:r w:rsidR="00735497">
        <w:t>co</w:t>
      </w:r>
      <w:proofErr w:type="spellEnd"/>
      <w:r w:rsidR="00735497">
        <w:t>-construite</w:t>
      </w:r>
      <w:r>
        <w:t xml:space="preserve"> et la création des indicateurs. </w:t>
      </w:r>
      <w:r w:rsidR="00CF20C2">
        <w:t>En effet, l</w:t>
      </w:r>
      <w:r w:rsidR="008D343F">
        <w:t>’équipe de chercheurs se prête au jeu d</w:t>
      </w:r>
      <w:r w:rsidR="00CF20C2">
        <w:t>u</w:t>
      </w:r>
      <w:r w:rsidR="008D343F">
        <w:t xml:space="preserve"> croisement des savoirs :</w:t>
      </w:r>
      <w:r w:rsidR="0051365A">
        <w:t xml:space="preserve"> une</w:t>
      </w:r>
      <w:r w:rsidR="008D343F">
        <w:t xml:space="preserve"> première</w:t>
      </w:r>
      <w:r w:rsidR="0051365A">
        <w:t xml:space="preserve"> analyse</w:t>
      </w:r>
      <w:r w:rsidR="008D343F">
        <w:t xml:space="preserve"> « </w:t>
      </w:r>
      <w:r w:rsidR="0051365A">
        <w:t>experte</w:t>
      </w:r>
      <w:r w:rsidR="008D343F">
        <w:t xml:space="preserve"> » </w:t>
      </w:r>
      <w:r w:rsidR="0051365A">
        <w:t xml:space="preserve">fait ressortir </w:t>
      </w:r>
      <w:r w:rsidR="00582925">
        <w:t>une première typologie</w:t>
      </w:r>
      <w:r w:rsidR="0051365A">
        <w:t xml:space="preserve"> </w:t>
      </w:r>
      <w:r w:rsidR="00582925">
        <w:t xml:space="preserve"> </w:t>
      </w:r>
      <w:r w:rsidR="0051365A">
        <w:t>de personnes en fonction de leur rapport au bien-être. A partir de ces profils (le « cadre stressé », le « jeune retraité disposant de son temps »</w:t>
      </w:r>
      <w:r w:rsidR="009D68FB">
        <w:t>…), complété par de voix minoritaires (un sans papier, deux lycéennes…) un p</w:t>
      </w:r>
      <w:r w:rsidR="008D343F">
        <w:t xml:space="preserve">anel citoyen </w:t>
      </w:r>
      <w:r w:rsidR="009D68FB">
        <w:t xml:space="preserve">est constitué. C’est le travail de ce panel, bousculant le savoir expert, qui est ensuite mis en discussion dans un forum hybride rassemblant élus, techniciens, chercheurs et citoyens. Le forum fait émerger les grandes dimensions du futur indicateur de bien-être soutenable et territorialisé (IBEST). </w:t>
      </w:r>
    </w:p>
    <w:p w14:paraId="0C41249F" w14:textId="3C7FF279" w:rsidR="00984B47" w:rsidRDefault="009D68FB" w:rsidP="005378D7">
      <w:pPr>
        <w:jc w:val="both"/>
      </w:pPr>
      <w:r>
        <w:t xml:space="preserve">La sélection finale des indicateurs les plus pertinents, la construction théorique et méthodologique de la démarche est le fruit d’un travail de </w:t>
      </w:r>
      <w:hyperlink r:id="rId11" w:history="1">
        <w:r w:rsidRPr="00E0613B">
          <w:rPr>
            <w:rStyle w:val="Lienhypertexte"/>
          </w:rPr>
          <w:t>thèse</w:t>
        </w:r>
      </w:hyperlink>
      <w:r w:rsidR="001D481C">
        <w:t xml:space="preserve"> </w:t>
      </w:r>
      <w:r w:rsidR="00E347AB">
        <w:t>réalisé</w:t>
      </w:r>
      <w:r>
        <w:t xml:space="preserve">, par Fiona Ottaviani, soutenue en </w:t>
      </w:r>
      <w:r w:rsidR="00E347AB">
        <w:t xml:space="preserve">septembre </w:t>
      </w:r>
      <w:r>
        <w:t>201</w:t>
      </w:r>
      <w:r w:rsidR="00E347AB">
        <w:t>5</w:t>
      </w:r>
      <w:r w:rsidR="002D77B5">
        <w:rPr>
          <w:rStyle w:val="Appelnotedebasdep"/>
        </w:rPr>
        <w:footnoteReference w:id="2"/>
      </w:r>
      <w:r>
        <w:t xml:space="preserve">. </w:t>
      </w:r>
    </w:p>
    <w:p w14:paraId="3A26A175" w14:textId="1ADC9525" w:rsidR="009A3F0E" w:rsidRDefault="009A3F0E" w:rsidP="005378D7">
      <w:pPr>
        <w:pStyle w:val="Titre2"/>
        <w:jc w:val="both"/>
      </w:pPr>
      <w:r>
        <w:lastRenderedPageBreak/>
        <w:t>IBEST : 8 dimensions pour appréhender le bien-être soutenable et territorialisé</w:t>
      </w:r>
      <w:r w:rsidR="00B167D7">
        <w:t xml:space="preserve"> (Ottaviani 2015)</w:t>
      </w:r>
    </w:p>
    <w:p w14:paraId="770CDA18" w14:textId="240B75DD" w:rsidR="005064B6" w:rsidRDefault="00B167D7" w:rsidP="00B167D7">
      <w:pPr>
        <w:jc w:val="center"/>
      </w:pPr>
      <w:bookmarkStart w:id="0" w:name="_GoBack"/>
      <w:r>
        <w:rPr>
          <w:noProof/>
          <w:lang w:eastAsia="fr-FR"/>
        </w:rPr>
        <w:drawing>
          <wp:inline distT="0" distB="0" distL="0" distR="0" wp14:anchorId="66B56FAE" wp14:editId="340A112E">
            <wp:extent cx="3971925" cy="3915183"/>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eBE_francais-01.png"/>
                    <pic:cNvPicPr/>
                  </pic:nvPicPr>
                  <pic:blipFill rotWithShape="1">
                    <a:blip r:embed="rId12" cstate="print">
                      <a:extLst>
                        <a:ext uri="{28A0092B-C50C-407E-A947-70E740481C1C}">
                          <a14:useLocalDpi xmlns:a14="http://schemas.microsoft.com/office/drawing/2010/main" val="0"/>
                        </a:ext>
                      </a:extLst>
                    </a:blip>
                    <a:srcRect l="12277" t="12054" r="9598" b="10937"/>
                    <a:stretch/>
                  </pic:blipFill>
                  <pic:spPr bwMode="auto">
                    <a:xfrm>
                      <a:off x="0" y="0"/>
                      <a:ext cx="3970611" cy="3913888"/>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4317CDB2" w14:textId="77777777" w:rsidR="009A3F0E" w:rsidRDefault="009A3F0E" w:rsidP="005378D7">
      <w:pPr>
        <w:jc w:val="both"/>
      </w:pPr>
      <w:r>
        <w:t>Certaines des 8 dimensions d’IBEST peuvent sembler classiques</w:t>
      </w:r>
      <w:r w:rsidR="00F61A9C">
        <w:t>. Mais le</w:t>
      </w:r>
      <w:r w:rsidR="001E0694">
        <w:t>s indicateurs qui les sous-tendent, sélectionnés en raison de</w:t>
      </w:r>
      <w:r w:rsidR="00F61A9C">
        <w:t xml:space="preserve"> leur pertinence pour éclairer la question du bien-être</w:t>
      </w:r>
      <w:r w:rsidR="001E0694">
        <w:t>,</w:t>
      </w:r>
      <w:r w:rsidR="00F61A9C">
        <w:t xml:space="preserve"> sont originaux</w:t>
      </w:r>
      <w:r>
        <w:t xml:space="preserve"> : </w:t>
      </w:r>
    </w:p>
    <w:p w14:paraId="033AECA0" w14:textId="38CAD88B" w:rsidR="009A3F0E" w:rsidRDefault="00F61A9C" w:rsidP="005378D7">
      <w:pPr>
        <w:pStyle w:val="Paragraphedeliste"/>
        <w:numPr>
          <w:ilvl w:val="0"/>
          <w:numId w:val="1"/>
        </w:numPr>
        <w:jc w:val="both"/>
      </w:pPr>
      <w:r w:rsidRPr="00CB5A9C">
        <w:rPr>
          <w:b/>
        </w:rPr>
        <w:t>L’accès</w:t>
      </w:r>
      <w:r w:rsidR="009A3F0E" w:rsidRPr="00CB5A9C">
        <w:rPr>
          <w:b/>
        </w:rPr>
        <w:t xml:space="preserve"> aux biens fondamentaux</w:t>
      </w:r>
      <w:r w:rsidR="009A3F0E">
        <w:t xml:space="preserve"> rappelle que, </w:t>
      </w:r>
      <w:r w:rsidR="00735497">
        <w:t xml:space="preserve">même </w:t>
      </w:r>
      <w:r w:rsidR="009A3F0E">
        <w:t xml:space="preserve">dans une société de l’abondance, avoir un toit ou de quoi se nourrir est un impératif social. Cette dimension met l’accent sur l’enjeu sociétal </w:t>
      </w:r>
      <w:r w:rsidR="00735497">
        <w:t>des</w:t>
      </w:r>
      <w:r w:rsidR="009A3F0E">
        <w:t xml:space="preserve"> inégalités</w:t>
      </w:r>
      <w:r w:rsidR="00E347AB">
        <w:t>.</w:t>
      </w:r>
    </w:p>
    <w:p w14:paraId="06946A21" w14:textId="58E2164D" w:rsidR="009A3F0E" w:rsidRDefault="00F61A9C" w:rsidP="005378D7">
      <w:pPr>
        <w:pStyle w:val="Paragraphedeliste"/>
        <w:numPr>
          <w:ilvl w:val="0"/>
          <w:numId w:val="1"/>
        </w:numPr>
        <w:jc w:val="both"/>
      </w:pPr>
      <w:r w:rsidRPr="00CB5A9C">
        <w:rPr>
          <w:b/>
        </w:rPr>
        <w:t>L’emploi</w:t>
      </w:r>
      <w:r w:rsidR="009A3F0E">
        <w:t xml:space="preserve"> </w:t>
      </w:r>
      <w:r>
        <w:t>est apparu comme un des</w:t>
      </w:r>
      <w:r w:rsidR="00472210">
        <w:t xml:space="preserve"> points les plus clivant</w:t>
      </w:r>
      <w:r>
        <w:t xml:space="preserve"> du rapport au bien-être : en avoir ou pas, être obligé d’en chercher ou pas… l’indicateur s’intéresse </w:t>
      </w:r>
      <w:r w:rsidR="00582925">
        <w:t>aux inégalités salariales et</w:t>
      </w:r>
      <w:r w:rsidR="00735497">
        <w:t xml:space="preserve"> </w:t>
      </w:r>
      <w:r>
        <w:t xml:space="preserve">au sentiment de justice salariale, qui est apparu comme très discriminant. On </w:t>
      </w:r>
      <w:r w:rsidR="00E347AB">
        <w:t xml:space="preserve">aborde </w:t>
      </w:r>
      <w:r>
        <w:t xml:space="preserve">ici </w:t>
      </w:r>
      <w:r w:rsidR="00E347AB">
        <w:t xml:space="preserve">la </w:t>
      </w:r>
      <w:r>
        <w:t xml:space="preserve">reconnaissance sociale. </w:t>
      </w:r>
    </w:p>
    <w:p w14:paraId="06B829B8" w14:textId="77777777" w:rsidR="00F61A9C" w:rsidRDefault="00F61A9C" w:rsidP="005378D7">
      <w:pPr>
        <w:pStyle w:val="Paragraphedeliste"/>
        <w:numPr>
          <w:ilvl w:val="0"/>
          <w:numId w:val="1"/>
        </w:numPr>
        <w:jc w:val="both"/>
      </w:pPr>
      <w:r w:rsidRPr="00CB5A9C">
        <w:rPr>
          <w:b/>
        </w:rPr>
        <w:t>La santé</w:t>
      </w:r>
      <w:r>
        <w:t xml:space="preserve"> : c’est l’indicateur « en creux » du bien-être. Tant qu’il n’y pas de pathologie, la question n’existe pas. Mais quand la santé devient défaillante, elle devient le premier critère. L’indicateur ici se concentre sur 2 dimensions particulières : le fait d’être suivi médicalement lorsqu’on a des soucis de santé et le stress. </w:t>
      </w:r>
    </w:p>
    <w:p w14:paraId="62252504" w14:textId="77777777" w:rsidR="00F61A9C" w:rsidRDefault="00F61A9C" w:rsidP="005378D7">
      <w:pPr>
        <w:jc w:val="both"/>
      </w:pPr>
      <w:r>
        <w:t xml:space="preserve">D’autres dimensions font écho à des préoccupations montantes de la société, mais peu outillées par des indicateurs jusque-là : </w:t>
      </w:r>
    </w:p>
    <w:p w14:paraId="4609E957" w14:textId="77777777" w:rsidR="00CB5A9C" w:rsidRDefault="00CB5A9C" w:rsidP="005378D7">
      <w:pPr>
        <w:pStyle w:val="Paragraphedeliste"/>
        <w:numPr>
          <w:ilvl w:val="0"/>
          <w:numId w:val="1"/>
        </w:numPr>
        <w:jc w:val="both"/>
      </w:pPr>
      <w:r w:rsidRPr="00CB5A9C">
        <w:rPr>
          <w:b/>
        </w:rPr>
        <w:t>La possibilité de recours aux services</w:t>
      </w:r>
      <w:r>
        <w:t xml:space="preserve"> : c’est le pendant de l’indicateur sur l’accès aux biens. Si « je n’ai pas » mais « j’ai la possibilité d’avoir », mon horizon reste ouvert. L’indicateur s’intéresse aux aides et services publics et privés. Il explore, en creux, la question du « non recours » : les freins géographiques, culturels, financiers, informationnels. </w:t>
      </w:r>
    </w:p>
    <w:p w14:paraId="05498E38" w14:textId="0EE694CE" w:rsidR="00CB5A9C" w:rsidRDefault="00CB5A9C" w:rsidP="005378D7">
      <w:pPr>
        <w:pStyle w:val="Paragraphedeliste"/>
        <w:numPr>
          <w:ilvl w:val="0"/>
          <w:numId w:val="1"/>
        </w:numPr>
        <w:jc w:val="both"/>
      </w:pPr>
      <w:r w:rsidRPr="00CB5A9C">
        <w:rPr>
          <w:b/>
        </w:rPr>
        <w:lastRenderedPageBreak/>
        <w:t>Le rapport au temps</w:t>
      </w:r>
      <w:r>
        <w:t xml:space="preserve"> : dans une société où l’espace est fini, le temps </w:t>
      </w:r>
      <w:r w:rsidR="007359E4">
        <w:t xml:space="preserve">semble </w:t>
      </w:r>
      <w:r>
        <w:t>la nouvelle frontière infinie</w:t>
      </w:r>
      <w:r>
        <w:rPr>
          <w:rStyle w:val="Appelnotedebasdep"/>
        </w:rPr>
        <w:footnoteReference w:id="3"/>
      </w:r>
      <w:r>
        <w:t xml:space="preserve">. Optimisé jusqu’à la saturation ou perdu et vide, le temps </w:t>
      </w:r>
      <w:r w:rsidR="00C50FA1">
        <w:t>est l’élément clé de la soutenabilité</w:t>
      </w:r>
      <w:r>
        <w:t xml:space="preserve"> L’indicateur essaie d’approcher cette dimension à partir de la question très concrète du temps passé dans les déplacements et celle, plus subjective, du choix du temps libre. </w:t>
      </w:r>
    </w:p>
    <w:p w14:paraId="71E1A520" w14:textId="5AC77B1E" w:rsidR="00CB5A9C" w:rsidRDefault="001372F8" w:rsidP="005378D7">
      <w:pPr>
        <w:pStyle w:val="Paragraphedeliste"/>
        <w:numPr>
          <w:ilvl w:val="0"/>
          <w:numId w:val="1"/>
        </w:numPr>
        <w:jc w:val="both"/>
      </w:pPr>
      <w:r w:rsidRPr="001372F8">
        <w:rPr>
          <w:b/>
        </w:rPr>
        <w:t>Le contact avec la nature</w:t>
      </w:r>
      <w:r>
        <w:t xml:space="preserve"> : la plupart des « nouveaux indicateurs de richesse » distinguent le social et l’environnemental. IBEST pointe l’importance de cette connexion : le bien-être des individus passe par des expériences liées à </w:t>
      </w:r>
      <w:r w:rsidR="005378D7">
        <w:t>une</w:t>
      </w:r>
      <w:r>
        <w:t xml:space="preserve"> nature</w:t>
      </w:r>
      <w:r w:rsidR="005378D7">
        <w:t xml:space="preserve"> préservée</w:t>
      </w:r>
      <w:r>
        <w:t>, à la biodiversité, soit par des temps dans la nature, soit par des gestes respectueux de l’environnement.</w:t>
      </w:r>
    </w:p>
    <w:p w14:paraId="7888B1F6" w14:textId="3EE75CE8" w:rsidR="001372F8" w:rsidRDefault="001372F8" w:rsidP="005378D7">
      <w:pPr>
        <w:jc w:val="both"/>
      </w:pPr>
      <w:r>
        <w:t>Les deux dernières dimensions reflètent la préoccupation centrale d’IBEST : révéler l’importance d</w:t>
      </w:r>
      <w:r w:rsidR="00710670">
        <w:t xml:space="preserve">es sociabilités </w:t>
      </w:r>
      <w:r>
        <w:t xml:space="preserve">dans le bien-être : </w:t>
      </w:r>
    </w:p>
    <w:p w14:paraId="2F201597" w14:textId="77777777" w:rsidR="001372F8" w:rsidRDefault="002A14C4" w:rsidP="005378D7">
      <w:pPr>
        <w:pStyle w:val="Paragraphedeliste"/>
        <w:numPr>
          <w:ilvl w:val="0"/>
          <w:numId w:val="1"/>
        </w:numPr>
        <w:jc w:val="both"/>
      </w:pPr>
      <w:r w:rsidRPr="002A14C4">
        <w:rPr>
          <w:b/>
        </w:rPr>
        <w:t>Le « vivre ensemble »</w:t>
      </w:r>
      <w:r>
        <w:t> : derrière ce terme un peu galvaudé, se cache</w:t>
      </w:r>
      <w:r w:rsidR="0002678C">
        <w:t>nt</w:t>
      </w:r>
      <w:r>
        <w:t xml:space="preserve"> tous les enjeux d</w:t>
      </w:r>
      <w:r w:rsidR="0002678C">
        <w:t xml:space="preserve">e la coexistence pacifique dans une société ouverte. Il est mesuré via des données sur </w:t>
      </w:r>
      <w:r w:rsidR="002066A7">
        <w:t xml:space="preserve">l’entraide ou la confiance dans les instituions. </w:t>
      </w:r>
    </w:p>
    <w:p w14:paraId="7CE918FE" w14:textId="2C20612C" w:rsidR="002A14C4" w:rsidRDefault="002A14C4" w:rsidP="005378D7">
      <w:pPr>
        <w:pStyle w:val="Paragraphedeliste"/>
        <w:numPr>
          <w:ilvl w:val="0"/>
          <w:numId w:val="1"/>
        </w:numPr>
        <w:jc w:val="both"/>
      </w:pPr>
      <w:r w:rsidRPr="002A14C4">
        <w:rPr>
          <w:b/>
        </w:rPr>
        <w:t>L’affirmation de soi</w:t>
      </w:r>
      <w:r>
        <w:t xml:space="preserve"> : </w:t>
      </w:r>
      <w:r w:rsidR="00E0613B">
        <w:t>cette dimension n’existait pas dans l’enquête. C’est l’atelier citoyen qui l’a fait émerger</w:t>
      </w:r>
      <w:r w:rsidR="00735497">
        <w:t>. Elle</w:t>
      </w:r>
      <w:r w:rsidR="001E0694">
        <w:t xml:space="preserve"> </w:t>
      </w:r>
      <w:r>
        <w:t xml:space="preserve">suscité </w:t>
      </w:r>
      <w:r w:rsidR="00735497">
        <w:t>des résistances chez l</w:t>
      </w:r>
      <w:r>
        <w:t>es élus et techniciens parce qu’elle renvoyait à la sphère psychologique, traditionnellement peu investie par les pouvoirs publics. Il s’agit ici de décrire la manière dont un individu prend sa place dans la société (engagements formels et informels) et la manière dont on la lui donne (confiance en</w:t>
      </w:r>
      <w:r w:rsidR="002066A7">
        <w:t xml:space="preserve"> autrui et dans le système éducatif</w:t>
      </w:r>
      <w:r>
        <w:t xml:space="preserve">). </w:t>
      </w:r>
    </w:p>
    <w:p w14:paraId="39689DE5" w14:textId="77777777" w:rsidR="00582925" w:rsidRDefault="00247744" w:rsidP="005378D7">
      <w:pPr>
        <w:ind w:left="360"/>
        <w:jc w:val="both"/>
      </w:pPr>
      <w:r>
        <w:t>Dernier défi méthodologique,</w:t>
      </w:r>
      <w:r w:rsidR="001E0505">
        <w:t xml:space="preserve"> le type d’indice. </w:t>
      </w:r>
      <w:r w:rsidR="00582925">
        <w:t xml:space="preserve">Les résultats ont été proposés sous trois formes, qui ont chacune permis des usages différents : </w:t>
      </w:r>
    </w:p>
    <w:p w14:paraId="14596EDD" w14:textId="77777777" w:rsidR="00582925" w:rsidRDefault="00582925" w:rsidP="005378D7">
      <w:pPr>
        <w:pStyle w:val="Paragraphedeliste"/>
        <w:numPr>
          <w:ilvl w:val="0"/>
          <w:numId w:val="1"/>
        </w:numPr>
        <w:jc w:val="both"/>
      </w:pPr>
      <w:r>
        <w:t>Des profils : ils permettent d’identifier les personnes qui se réalisent plus ou moins bien en fonction des 8 dimensions</w:t>
      </w:r>
    </w:p>
    <w:p w14:paraId="2C564197" w14:textId="77777777" w:rsidR="005378D7" w:rsidRDefault="005378D7" w:rsidP="005378D7">
      <w:pPr>
        <w:pStyle w:val="Paragraphedeliste"/>
        <w:numPr>
          <w:ilvl w:val="0"/>
          <w:numId w:val="1"/>
        </w:numPr>
        <w:jc w:val="both"/>
      </w:pPr>
      <w:r>
        <w:t xml:space="preserve">Un indice composite synthétisant les 8 dimensions. </w:t>
      </w:r>
    </w:p>
    <w:p w14:paraId="1570D1FF" w14:textId="3D107401" w:rsidR="00247744" w:rsidRDefault="005378D7" w:rsidP="005378D7">
      <w:pPr>
        <w:pStyle w:val="Paragraphedeliste"/>
        <w:numPr>
          <w:ilvl w:val="0"/>
          <w:numId w:val="1"/>
        </w:numPr>
        <w:jc w:val="both"/>
      </w:pPr>
      <w:r>
        <w:t xml:space="preserve">Et, ce qui a été le plus utilisé jusqu’à présent, </w:t>
      </w:r>
      <w:r w:rsidR="00247744">
        <w:t xml:space="preserve">8 </w:t>
      </w:r>
      <w:r w:rsidR="00C871C7">
        <w:t>i</w:t>
      </w:r>
      <w:r w:rsidR="00E0613B">
        <w:t>n</w:t>
      </w:r>
      <w:r w:rsidR="00C871C7">
        <w:t>dic</w:t>
      </w:r>
      <w:r w:rsidR="00E0613B">
        <w:t>a</w:t>
      </w:r>
      <w:r w:rsidR="00C871C7">
        <w:t xml:space="preserve">teurs, un par </w:t>
      </w:r>
      <w:r w:rsidR="00247744">
        <w:t>dimension</w:t>
      </w:r>
      <w:r w:rsidR="00C871C7">
        <w:t>,</w:t>
      </w:r>
      <w:r w:rsidR="00247744">
        <w:t xml:space="preserve"> qui tentent d’embrasser la complexité des situations sociales. Avec ce défi : ne pas « </w:t>
      </w:r>
      <w:proofErr w:type="spellStart"/>
      <w:r w:rsidR="00247744">
        <w:t>resaucissonner</w:t>
      </w:r>
      <w:proofErr w:type="spellEnd"/>
      <w:r w:rsidR="00247744">
        <w:t xml:space="preserve"> » en sélectionnant l’une ou l’autre des dimensions mais tenir </w:t>
      </w:r>
      <w:r>
        <w:t>l’</w:t>
      </w:r>
      <w:r w:rsidR="00247744">
        <w:t>approche globale</w:t>
      </w:r>
      <w:r>
        <w:t xml:space="preserve">. </w:t>
      </w:r>
      <w:r w:rsidR="00247744">
        <w:t xml:space="preserve"> </w:t>
      </w:r>
      <w:r>
        <w:t>L</w:t>
      </w:r>
      <w:r w:rsidR="00247744">
        <w:t xml:space="preserve">a roue d’IBEST c’est l’après pyramide de Maslow : dans une société où </w:t>
      </w:r>
      <w:r>
        <w:t>le</w:t>
      </w:r>
      <w:r w:rsidR="00247744">
        <w:t xml:space="preserve"> </w:t>
      </w:r>
      <w:proofErr w:type="spellStart"/>
      <w:r w:rsidR="00247744">
        <w:t>burn-out</w:t>
      </w:r>
      <w:proofErr w:type="spellEnd"/>
      <w:r w:rsidR="00247744">
        <w:t xml:space="preserve"> ou </w:t>
      </w:r>
      <w:r>
        <w:t>la</w:t>
      </w:r>
      <w:r w:rsidR="00247744">
        <w:t xml:space="preserve"> solitude</w:t>
      </w:r>
      <w:r>
        <w:t xml:space="preserve"> causent des ravages</w:t>
      </w:r>
      <w:r w:rsidR="00247744">
        <w:t xml:space="preserve">, </w:t>
      </w:r>
      <w:r>
        <w:t>l’</w:t>
      </w:r>
      <w:r w:rsidR="00247744">
        <w:t xml:space="preserve">accès aux biens fondamentaux </w:t>
      </w:r>
      <w:r>
        <w:t>est aussi importante que</w:t>
      </w:r>
      <w:r w:rsidR="00247744">
        <w:t xml:space="preserve"> l’épanouissement.</w:t>
      </w:r>
      <w:r>
        <w:t xml:space="preserve"> T</w:t>
      </w:r>
      <w:r w:rsidR="00735497">
        <w:t>outes</w:t>
      </w:r>
      <w:r w:rsidR="00710670">
        <w:t xml:space="preserve"> les dimensions importent pour se réaliser et toutes les dimensions du bien-être sont pensées par rapport à des seuils de soutenabilité issus de la démarche participative.</w:t>
      </w:r>
      <w:r w:rsidR="00247744">
        <w:t xml:space="preserve">  </w:t>
      </w:r>
    </w:p>
    <w:p w14:paraId="2434D1B8" w14:textId="77777777" w:rsidR="00247744" w:rsidRDefault="00247744" w:rsidP="005378D7">
      <w:pPr>
        <w:jc w:val="both"/>
      </w:pPr>
    </w:p>
    <w:p w14:paraId="195E4E85" w14:textId="77777777" w:rsidR="009D68FB" w:rsidRDefault="009D68FB" w:rsidP="005378D7">
      <w:pPr>
        <w:pStyle w:val="Titre2"/>
        <w:jc w:val="both"/>
      </w:pPr>
      <w:r>
        <w:t>L’appropriation :</w:t>
      </w:r>
      <w:r w:rsidR="009A3F0E">
        <w:t xml:space="preserve"> de la recherche au</w:t>
      </w:r>
      <w:r w:rsidR="00CF20C2">
        <w:t xml:space="preserve"> pilotage</w:t>
      </w:r>
    </w:p>
    <w:p w14:paraId="51F71384" w14:textId="45AE1312" w:rsidR="00984946" w:rsidRDefault="00984946" w:rsidP="005378D7">
      <w:pPr>
        <w:jc w:val="both"/>
      </w:pPr>
      <w:r>
        <w:t>Etape cruciale ! Si construire un indice robuste et porteur de sens est un défi scientifique, sa transformation en « convention</w:t>
      </w:r>
      <w:r w:rsidR="005378D7">
        <w:t>s</w:t>
      </w:r>
      <w:r>
        <w:t xml:space="preserve"> socio-politique</w:t>
      </w:r>
      <w:r w:rsidR="005378D7">
        <w:t>s</w:t>
      </w:r>
      <w:r>
        <w:t> »</w:t>
      </w:r>
      <w:r>
        <w:rPr>
          <w:rStyle w:val="Appelnotedebasdep"/>
        </w:rPr>
        <w:footnoteReference w:id="4"/>
      </w:r>
      <w:r w:rsidR="00735497">
        <w:t xml:space="preserve"> est une gageure politique</w:t>
      </w:r>
      <w:r>
        <w:t>.</w:t>
      </w:r>
      <w:r w:rsidR="00192FC9">
        <w:t xml:space="preserve"> Un indicateur ne produit du changement qu’à partir du moment où il est reconnu comme </w:t>
      </w:r>
      <w:r w:rsidR="00DA1A26">
        <w:t xml:space="preserve">référence </w:t>
      </w:r>
      <w:r w:rsidR="00192FC9">
        <w:t xml:space="preserve">par une communauté de personnes, qui s’en servent pour orienter leurs choix. </w:t>
      </w:r>
      <w:r>
        <w:t xml:space="preserve"> </w:t>
      </w:r>
    </w:p>
    <w:p w14:paraId="0EB48892" w14:textId="7EDE14BB" w:rsidR="00984946" w:rsidRDefault="00984946" w:rsidP="005378D7">
      <w:pPr>
        <w:jc w:val="both"/>
      </w:pPr>
      <w:r>
        <w:t xml:space="preserve">Le fait que l’expérimentation </w:t>
      </w:r>
      <w:r w:rsidR="00192FC9">
        <w:t xml:space="preserve">IBEST </w:t>
      </w:r>
      <w:r>
        <w:t>ait lieu à une échelle métropolitaine</w:t>
      </w:r>
      <w:r w:rsidR="00192FC9">
        <w:t>, les 49 communes de la métropole grenobloise,</w:t>
      </w:r>
      <w:r>
        <w:t xml:space="preserve"> est </w:t>
      </w:r>
      <w:r w:rsidR="00090D9F">
        <w:t>un atout et un challenge</w:t>
      </w:r>
      <w:r>
        <w:t xml:space="preserve"> : </w:t>
      </w:r>
      <w:r w:rsidR="00090D9F">
        <w:t>un atout parce que la métropole représente</w:t>
      </w:r>
      <w:r>
        <w:t xml:space="preserve">, </w:t>
      </w:r>
      <w:r>
        <w:lastRenderedPageBreak/>
        <w:t>peu ou prou, le bassin de vie, le territoire à l’intérieur duquel les habitants se croisent, vivent ensemble</w:t>
      </w:r>
      <w:r w:rsidR="00192FC9">
        <w:t xml:space="preserve"> (avec ou sans tensions)</w:t>
      </w:r>
      <w:r>
        <w:t>, respire</w:t>
      </w:r>
      <w:r w:rsidR="00192FC9">
        <w:t xml:space="preserve">nt le même air (pollué ou pas), partagent des moments fondateurs... Cette communauté de vie invite à penser une communauté de destin. </w:t>
      </w:r>
      <w:r w:rsidR="00090D9F">
        <w:t xml:space="preserve">Un challenge parce que la construction métropolitaine étant encore récente, l’appropriation d’une vision de long terme comme le bien-être soutenable est bousculée par des enjeux de gestion quotidienne. </w:t>
      </w:r>
    </w:p>
    <w:p w14:paraId="3EE805CE" w14:textId="7C8C0196" w:rsidR="00192FC9" w:rsidRDefault="00090D9F" w:rsidP="005378D7">
      <w:pPr>
        <w:jc w:val="both"/>
      </w:pPr>
      <w:r>
        <w:t>Autre point marquant</w:t>
      </w:r>
      <w:r w:rsidR="00192FC9">
        <w:t> : la pluralité des acteurs engagés. Des institutions</w:t>
      </w:r>
      <w:r>
        <w:t>,</w:t>
      </w:r>
      <w:r w:rsidR="00192FC9">
        <w:t xml:space="preserve"> comme la métropole grenobloise et la ville de Grenoble, l’université Grenoble-Alpes mais aussi </w:t>
      </w:r>
      <w:r w:rsidR="008A78F9">
        <w:t xml:space="preserve">des </w:t>
      </w:r>
      <w:r w:rsidR="00192FC9">
        <w:t>associations animées par le CCFD-terre solidaire</w:t>
      </w:r>
      <w:r w:rsidR="006238BA">
        <w:t>, la « société civile »</w:t>
      </w:r>
      <w:r w:rsidR="00192FC9">
        <w:t>. Cette</w:t>
      </w:r>
      <w:r w:rsidR="00AB68CA">
        <w:t xml:space="preserve"> </w:t>
      </w:r>
      <w:proofErr w:type="spellStart"/>
      <w:r w:rsidR="00AB68CA">
        <w:t>co</w:t>
      </w:r>
      <w:proofErr w:type="spellEnd"/>
      <w:r w:rsidR="00AB68CA">
        <w:t xml:space="preserve">-construction </w:t>
      </w:r>
      <w:r>
        <w:t>rend très visible la nécessaire</w:t>
      </w:r>
      <w:r w:rsidR="00AB68CA">
        <w:t xml:space="preserve"> </w:t>
      </w:r>
      <w:proofErr w:type="spellStart"/>
      <w:r w:rsidR="00AB68CA">
        <w:t>co-responsabilité</w:t>
      </w:r>
      <w:proofErr w:type="spellEnd"/>
      <w:r>
        <w:t xml:space="preserve"> sur ces sujets</w:t>
      </w:r>
      <w:r w:rsidR="00AB68CA">
        <w:t xml:space="preserve"> : chacun, à sa place, </w:t>
      </w:r>
      <w:r>
        <w:t xml:space="preserve">doit </w:t>
      </w:r>
      <w:r w:rsidR="00B26989">
        <w:t>assume</w:t>
      </w:r>
      <w:r>
        <w:t>r</w:t>
      </w:r>
      <w:r w:rsidR="00B26989">
        <w:t xml:space="preserve"> la responsabilité individuelle et collective qui lui incombe</w:t>
      </w:r>
      <w:r w:rsidR="00AB68CA">
        <w:t>. Les collectivités sur leurs compétences</w:t>
      </w:r>
      <w:r w:rsidR="005378D7">
        <w:t xml:space="preserve"> mais aussi dans leur fonction d’animation du territoire</w:t>
      </w:r>
      <w:r w:rsidR="00AB68CA">
        <w:t>, l’univ</w:t>
      </w:r>
      <w:r w:rsidR="008A78F9">
        <w:t>ersité sur le projet d’indicateur</w:t>
      </w:r>
      <w:r w:rsidR="002D77B5">
        <w:t>s</w:t>
      </w:r>
      <w:r w:rsidR="008A78F9">
        <w:t xml:space="preserve"> </w:t>
      </w:r>
      <w:r w:rsidR="00AB68CA">
        <w:t>mais aussi sur la manière elle construi</w:t>
      </w:r>
      <w:r w:rsidR="001E0694">
        <w:t>t sa recherche, les citoyens individuellement ou en collectif</w:t>
      </w:r>
      <w:r w:rsidR="00AB68CA">
        <w:t xml:space="preserve">. </w:t>
      </w:r>
      <w:r>
        <w:t xml:space="preserve">C’est une force et une fragilité que cette interdépendance… la pluralité démultiplie </w:t>
      </w:r>
      <w:r w:rsidR="00FD3422">
        <w:t xml:space="preserve">les </w:t>
      </w:r>
      <w:r w:rsidR="00E90E63">
        <w:t xml:space="preserve">caisses de résonnance du projet et évite une trop forte incarnation mais oblige à des temps longs de concertation et  à des efforts traduction dans chaque langage universitaire, administratif ou citoyen. </w:t>
      </w:r>
    </w:p>
    <w:p w14:paraId="66339596" w14:textId="04FE31D2" w:rsidR="008A78F9" w:rsidRDefault="008A78F9" w:rsidP="005378D7">
      <w:pPr>
        <w:jc w:val="both"/>
      </w:pPr>
      <w:r>
        <w:t xml:space="preserve">Très concrètement, pour une institution comme la métropole grenobloise, ce travail est intégré </w:t>
      </w:r>
      <w:r w:rsidR="0079609D">
        <w:t>à trois niveaux</w:t>
      </w:r>
      <w:r>
        <w:t xml:space="preserve"> : </w:t>
      </w:r>
    </w:p>
    <w:p w14:paraId="63FE8EF4" w14:textId="36E02F9B" w:rsidR="008A78F9" w:rsidRDefault="008A78F9" w:rsidP="005378D7">
      <w:pPr>
        <w:pStyle w:val="Paragraphedeliste"/>
        <w:numPr>
          <w:ilvl w:val="0"/>
          <w:numId w:val="1"/>
        </w:numPr>
        <w:jc w:val="both"/>
      </w:pPr>
      <w:r>
        <w:t>Dans les outils d’</w:t>
      </w:r>
      <w:r w:rsidRPr="005378D7">
        <w:rPr>
          <w:b/>
        </w:rPr>
        <w:t>observation</w:t>
      </w:r>
      <w:r>
        <w:t> : (la boucle est bouclée, voir début de cet article) les données décrivant le capital social sont intégrées dans la compréhension du territoire et de ses besoins. Par exemple, une étude récente sur le</w:t>
      </w:r>
      <w:r w:rsidR="001E0694">
        <w:t xml:space="preserve"> vieillissement</w:t>
      </w:r>
      <w:r>
        <w:t xml:space="preserve"> a pu objectiver l’intensité du réseau relationnel dans lequel était inséré les personnes âgées, son amenuisement avec le grand âge et donc la nécessité d</w:t>
      </w:r>
      <w:r w:rsidR="001E0694">
        <w:t>e mieux tenir compte de</w:t>
      </w:r>
      <w:r>
        <w:t xml:space="preserve"> cette dimension</w:t>
      </w:r>
      <w:r w:rsidR="001E0694">
        <w:t xml:space="preserve"> dans les solutions apportées</w:t>
      </w:r>
      <w:r>
        <w:t xml:space="preserve">. </w:t>
      </w:r>
      <w:r w:rsidR="001E0694">
        <w:t>Après celle de 2012, u</w:t>
      </w:r>
      <w:r>
        <w:t xml:space="preserve">ne seconde enquête par questionnaire </w:t>
      </w:r>
      <w:r w:rsidR="001E0694">
        <w:t xml:space="preserve">auprès de 1000 personnes </w:t>
      </w:r>
      <w:r>
        <w:t>a eu lieu</w:t>
      </w:r>
      <w:r w:rsidR="001E0694">
        <w:t xml:space="preserve"> en novembre 2017. D</w:t>
      </w:r>
      <w:r>
        <w:t>es évolutions vont être mesurables, le tableau de bord se complète</w:t>
      </w:r>
      <w:r w:rsidR="001E0694">
        <w:t xml:space="preserve"> dans la durée</w:t>
      </w:r>
      <w:r>
        <w:t xml:space="preserve">, avec une attention particulière aux quartiers les plus populaires. </w:t>
      </w:r>
    </w:p>
    <w:p w14:paraId="6E5DFC9C" w14:textId="77777777" w:rsidR="006238BA" w:rsidRDefault="006238BA" w:rsidP="006238BA">
      <w:pPr>
        <w:pStyle w:val="Paragraphedeliste"/>
        <w:jc w:val="both"/>
      </w:pPr>
    </w:p>
    <w:p w14:paraId="37BF2352" w14:textId="2F8BE333" w:rsidR="008A78F9" w:rsidRDefault="008A78F9" w:rsidP="005378D7">
      <w:pPr>
        <w:pStyle w:val="Paragraphedeliste"/>
        <w:numPr>
          <w:ilvl w:val="0"/>
          <w:numId w:val="1"/>
        </w:numPr>
        <w:jc w:val="both"/>
      </w:pPr>
      <w:r>
        <w:t>Dans les critères d’</w:t>
      </w:r>
      <w:r w:rsidRPr="005378D7">
        <w:rPr>
          <w:b/>
        </w:rPr>
        <w:t>évaluation</w:t>
      </w:r>
      <w:r>
        <w:t xml:space="preserve"> : </w:t>
      </w:r>
      <w:r w:rsidR="005312B9">
        <w:t>par délibération du conseil métropolitain</w:t>
      </w:r>
      <w:r w:rsidR="00DA1A26">
        <w:t xml:space="preserve"> en 2015</w:t>
      </w:r>
      <w:r w:rsidR="005312B9">
        <w:t>, à chaque fois qu’une politique publique est évaluée, est posée la question de sa contribution au</w:t>
      </w:r>
      <w:r>
        <w:t xml:space="preserve"> bien-être soutenable. </w:t>
      </w:r>
      <w:r w:rsidR="005312B9">
        <w:t>Pour ses bénéficiaires</w:t>
      </w:r>
      <w:r w:rsidR="00E90E63">
        <w:t>/</w:t>
      </w:r>
      <w:r w:rsidR="00022CA6">
        <w:t>usagers</w:t>
      </w:r>
      <w:r w:rsidR="005312B9">
        <w:t xml:space="preserve"> </w:t>
      </w:r>
      <w:r w:rsidR="00E90E63">
        <w:t xml:space="preserve">et </w:t>
      </w:r>
      <w:r w:rsidR="005312B9">
        <w:t xml:space="preserve">pour </w:t>
      </w:r>
      <w:r w:rsidR="00E90E63">
        <w:t>ses porteurs</w:t>
      </w:r>
      <w:r w:rsidR="005312B9">
        <w:t xml:space="preserve">. Par ailleurs, </w:t>
      </w:r>
      <w:r w:rsidR="00567004">
        <w:t>le</w:t>
      </w:r>
      <w:r w:rsidR="005312B9">
        <w:t xml:space="preserve"> conseil de développement, rassemblant des rep</w:t>
      </w:r>
      <w:r w:rsidR="00567004">
        <w:t>résentants de la société civile, s’est  approprié IBEST : il l’a</w:t>
      </w:r>
      <w:r w:rsidR="005312B9">
        <w:t xml:space="preserve"> choisi comme point de départ pour structurer un questionnement évaluatif de la politique de l’habitat et du schéma de cohérence territoriale. </w:t>
      </w:r>
      <w:r w:rsidR="001E0694">
        <w:t xml:space="preserve">Le chantier s’ouvre juste, il se confronte </w:t>
      </w:r>
      <w:r w:rsidR="00E90E63">
        <w:t>déjà</w:t>
      </w:r>
      <w:r w:rsidR="001E0694">
        <w:t xml:space="preserve"> à la question du recueil des données, à leur interprétation… </w:t>
      </w:r>
      <w:r w:rsidR="00022CA6">
        <w:t>et au travail très délicat de la mesure d’impact. M</w:t>
      </w:r>
      <w:r w:rsidR="001E0694">
        <w:t xml:space="preserve">ais le fait que le questionnement soit posé dès le départ </w:t>
      </w:r>
      <w:r w:rsidR="00E90E63">
        <w:t xml:space="preserve">oblige </w:t>
      </w:r>
      <w:r w:rsidR="00022CA6">
        <w:t xml:space="preserve">à intégrer  le bien-être </w:t>
      </w:r>
      <w:r w:rsidR="00567004">
        <w:t>-</w:t>
      </w:r>
      <w:r w:rsidR="00022CA6">
        <w:t>et sa soutenabilité sociale et environnementale</w:t>
      </w:r>
      <w:r w:rsidR="00567004">
        <w:t>-</w:t>
      </w:r>
      <w:r w:rsidR="00022CA6">
        <w:t xml:space="preserve"> dès la conception du projet.  </w:t>
      </w:r>
    </w:p>
    <w:p w14:paraId="26B0F112" w14:textId="77777777" w:rsidR="006238BA" w:rsidRDefault="006238BA" w:rsidP="006238BA">
      <w:pPr>
        <w:pStyle w:val="Paragraphedeliste"/>
        <w:jc w:val="both"/>
      </w:pPr>
    </w:p>
    <w:p w14:paraId="3ABAE438" w14:textId="73FA85FD" w:rsidR="005312B9" w:rsidRDefault="005312B9" w:rsidP="005378D7">
      <w:pPr>
        <w:pStyle w:val="Paragraphedeliste"/>
        <w:numPr>
          <w:ilvl w:val="0"/>
          <w:numId w:val="1"/>
        </w:numPr>
        <w:jc w:val="both"/>
      </w:pPr>
      <w:r>
        <w:t xml:space="preserve">Dans les outils de </w:t>
      </w:r>
      <w:r w:rsidRPr="005378D7">
        <w:rPr>
          <w:b/>
        </w:rPr>
        <w:t>pilotage</w:t>
      </w:r>
      <w:r>
        <w:t xml:space="preserve"> : </w:t>
      </w:r>
      <w:r w:rsidR="00AC5288">
        <w:t>la métropole grenobloise est en train d’écrire son projet métropolitain, document qui oriente les politiques publiques et l’intervention métropolitaine</w:t>
      </w:r>
      <w:r w:rsidR="00E90E63">
        <w:t xml:space="preserve"> à horizon 2030</w:t>
      </w:r>
      <w:r w:rsidR="00AC5288">
        <w:t xml:space="preserve">. Les indicateurs de bien-être </w:t>
      </w:r>
      <w:r w:rsidR="00567004">
        <w:t>doivent être</w:t>
      </w:r>
      <w:r w:rsidR="00AC5288">
        <w:t xml:space="preserve"> intégrés à cette démarche portée par les élus, avec l’ambition de les rendre performatifs. </w:t>
      </w:r>
    </w:p>
    <w:p w14:paraId="2ED2139C" w14:textId="49BC9E74" w:rsidR="001E0694" w:rsidRDefault="00E90E63" w:rsidP="005378D7">
      <w:pPr>
        <w:jc w:val="both"/>
      </w:pPr>
      <w:r>
        <w:t>IBEST est un chantier encore très ouvert</w:t>
      </w:r>
      <w:r w:rsidR="001E0694">
        <w:t xml:space="preserve">. </w:t>
      </w:r>
      <w:r w:rsidR="00567004">
        <w:t>Mais d</w:t>
      </w:r>
      <w:r w:rsidR="001E0694">
        <w:t xml:space="preserve">e premiers jalons significatifs ont été posés. Le temps long de cette </w:t>
      </w:r>
      <w:r w:rsidR="00FD66BA">
        <w:t>élaboration</w:t>
      </w:r>
      <w:r w:rsidR="001E0694">
        <w:t xml:space="preserve"> illustre à la fois la complexité d’un sujet dans lequel il faut souvent refaire la preuve de l’intérêt</w:t>
      </w:r>
      <w:r w:rsidR="00BC54FB">
        <w:t xml:space="preserve"> </w:t>
      </w:r>
      <w:r w:rsidR="001E0694">
        <w:t>mais aussi l’</w:t>
      </w:r>
      <w:r w:rsidR="00BC54FB">
        <w:t xml:space="preserve">impérieuse nécessité d’embarquer largement les parties prenantes. Condition nécessaire pour bâtir, étape par étape, cette fameuse convention socio-politique qui doit </w:t>
      </w:r>
      <w:r w:rsidR="00BC54FB">
        <w:lastRenderedPageBreak/>
        <w:t xml:space="preserve">permettre </w:t>
      </w:r>
      <w:r w:rsidR="006238BA">
        <w:t>d’accélérer le</w:t>
      </w:r>
      <w:r w:rsidR="00BC54FB">
        <w:t xml:space="preserve"> changement. </w:t>
      </w:r>
      <w:r>
        <w:t>L</w:t>
      </w:r>
      <w:r w:rsidR="00FD3422">
        <w:t>e mouvement des communs</w:t>
      </w:r>
      <w:r>
        <w:t xml:space="preserve"> est, en cela, inspirant</w:t>
      </w:r>
      <w:r w:rsidR="00FD3422">
        <w:t xml:space="preserve"> : les indicateurs </w:t>
      </w:r>
      <w:r>
        <w:t>pourraient</w:t>
      </w:r>
      <w:r w:rsidR="00FD3422">
        <w:t xml:space="preserve"> devenir un bien commun, porté par une communauté qui se donne des règles partagées.</w:t>
      </w:r>
    </w:p>
    <w:p w14:paraId="4C47044A" w14:textId="77777777" w:rsidR="00FD66BA" w:rsidRDefault="00FD66BA" w:rsidP="005378D7">
      <w:pPr>
        <w:jc w:val="both"/>
      </w:pPr>
    </w:p>
    <w:p w14:paraId="5B7C62B3" w14:textId="77777777" w:rsidR="00FD66BA" w:rsidRDefault="00FD66BA" w:rsidP="005378D7">
      <w:pPr>
        <w:jc w:val="both"/>
      </w:pPr>
      <w:r>
        <w:t xml:space="preserve">Hélène CLOT – </w:t>
      </w:r>
      <w:hyperlink r:id="rId13" w:history="1">
        <w:r w:rsidRPr="00D0508B">
          <w:rPr>
            <w:rStyle w:val="Lienhypertexte"/>
          </w:rPr>
          <w:t>helene.clot@lametro.fr</w:t>
        </w:r>
      </w:hyperlink>
      <w:r>
        <w:t xml:space="preserve"> </w:t>
      </w:r>
    </w:p>
    <w:p w14:paraId="4DE3425F" w14:textId="77777777" w:rsidR="00FD66BA" w:rsidRDefault="00FD66BA" w:rsidP="005378D7">
      <w:pPr>
        <w:jc w:val="both"/>
      </w:pPr>
      <w:r>
        <w:t>Grenoble-Alpes Métropole - Coordinatrice évaluation et observation – Mission stratégie et innovation publique</w:t>
      </w:r>
    </w:p>
    <w:sectPr w:rsidR="00FD66B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E61CD5" w15:done="0"/>
  <w15:commentEx w15:paraId="6367FFFA" w15:done="0"/>
  <w15:commentEx w15:paraId="69ED16C1" w15:done="0"/>
  <w15:commentEx w15:paraId="478EE239" w15:done="0"/>
  <w15:commentEx w15:paraId="4F898510" w15:done="0"/>
  <w15:commentEx w15:paraId="69C2A747" w15:done="0"/>
  <w15:commentEx w15:paraId="6B984148" w15:done="0"/>
  <w15:commentEx w15:paraId="7F2CD7EE" w15:done="0"/>
  <w15:commentEx w15:paraId="44A0A568" w15:done="0"/>
  <w15:commentEx w15:paraId="4B0D55FA" w15:done="0"/>
  <w15:commentEx w15:paraId="7B188884" w15:done="0"/>
  <w15:commentEx w15:paraId="59FD27EB" w15:done="0"/>
  <w15:commentEx w15:paraId="59A8242C" w15:done="0"/>
  <w15:commentEx w15:paraId="22808959" w15:done="0"/>
  <w15:commentEx w15:paraId="02087F53" w15:done="0"/>
  <w15:commentEx w15:paraId="45CB9E9C" w15:done="0"/>
  <w15:commentEx w15:paraId="63C39648" w15:done="0"/>
  <w15:commentEx w15:paraId="3821DB3F" w15:done="0"/>
  <w15:commentEx w15:paraId="62AB89C0" w15:done="0"/>
  <w15:commentEx w15:paraId="05E4D768" w15:done="0"/>
  <w15:commentEx w15:paraId="2480FF4E" w15:done="0"/>
  <w15:commentEx w15:paraId="2743D898" w15:done="0"/>
  <w15:commentEx w15:paraId="1C43A889" w15:paraIdParent="2743D898" w15:done="0"/>
  <w15:commentEx w15:paraId="03CF15F4" w15:done="0"/>
  <w15:commentEx w15:paraId="47B74640" w15:done="0"/>
  <w15:commentEx w15:paraId="3334101F" w15:done="0"/>
  <w15:commentEx w15:paraId="180BC90B" w15:done="0"/>
  <w15:commentEx w15:paraId="3A89D11C" w15:done="0"/>
  <w15:commentEx w15:paraId="54280419" w15:done="0"/>
  <w15:commentEx w15:paraId="1E3226A0" w15:done="0"/>
  <w15:commentEx w15:paraId="7F16CEAA" w15:done="0"/>
  <w15:commentEx w15:paraId="290351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1C6CD" w14:textId="77777777" w:rsidR="00E16E3B" w:rsidRDefault="00E16E3B" w:rsidP="00CF20C2">
      <w:pPr>
        <w:spacing w:after="0" w:line="240" w:lineRule="auto"/>
      </w:pPr>
      <w:r>
        <w:separator/>
      </w:r>
    </w:p>
  </w:endnote>
  <w:endnote w:type="continuationSeparator" w:id="0">
    <w:p w14:paraId="00C516DF" w14:textId="77777777" w:rsidR="00E16E3B" w:rsidRDefault="00E16E3B" w:rsidP="00CF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AB652" w14:textId="77777777" w:rsidR="00E16E3B" w:rsidRDefault="00E16E3B" w:rsidP="00CF20C2">
      <w:pPr>
        <w:spacing w:after="0" w:line="240" w:lineRule="auto"/>
      </w:pPr>
      <w:r>
        <w:separator/>
      </w:r>
    </w:p>
  </w:footnote>
  <w:footnote w:type="continuationSeparator" w:id="0">
    <w:p w14:paraId="5DDE3B21" w14:textId="77777777" w:rsidR="00E16E3B" w:rsidRDefault="00E16E3B" w:rsidP="00CF20C2">
      <w:pPr>
        <w:spacing w:after="0" w:line="240" w:lineRule="auto"/>
      </w:pPr>
      <w:r>
        <w:continuationSeparator/>
      </w:r>
    </w:p>
  </w:footnote>
  <w:footnote w:id="1">
    <w:p w14:paraId="20A40820" w14:textId="0D674E24" w:rsidR="00CF20C2" w:rsidRDefault="00CF20C2">
      <w:pPr>
        <w:pStyle w:val="Notedebasdepage"/>
      </w:pPr>
      <w:r>
        <w:rPr>
          <w:rStyle w:val="Appelnotedebasdep"/>
        </w:rPr>
        <w:footnoteRef/>
      </w:r>
      <w:r>
        <w:t xml:space="preserve"> Docteur </w:t>
      </w:r>
      <w:r w:rsidR="00FD6610">
        <w:t xml:space="preserve">et HDR </w:t>
      </w:r>
      <w:r>
        <w:t>en économie</w:t>
      </w:r>
      <w:r w:rsidR="00FD6610">
        <w:t>, ancienne responsable du Master Evaluation et management des</w:t>
      </w:r>
      <w:r w:rsidR="00582925">
        <w:t xml:space="preserve"> </w:t>
      </w:r>
      <w:r w:rsidR="00FD6610">
        <w:t>politiques Sociale (FEG-UGA)</w:t>
      </w:r>
      <w:r>
        <w:t xml:space="preserve">, spécialiste notamment de la mesure de l’utilité sociale. </w:t>
      </w:r>
      <w:r w:rsidR="00C929BA">
        <w:t xml:space="preserve">Outre Claudine </w:t>
      </w:r>
      <w:proofErr w:type="spellStart"/>
      <w:r w:rsidR="00C929BA">
        <w:t>Offredi</w:t>
      </w:r>
      <w:proofErr w:type="spellEnd"/>
      <w:r w:rsidR="00C929BA">
        <w:t xml:space="preserve">, l’équipe était composée </w:t>
      </w:r>
      <w:r w:rsidR="001D481C">
        <w:t xml:space="preserve">Valérie </w:t>
      </w:r>
      <w:proofErr w:type="spellStart"/>
      <w:r w:rsidR="001D481C">
        <w:t>Fargeron</w:t>
      </w:r>
      <w:proofErr w:type="spellEnd"/>
      <w:r w:rsidR="001D481C">
        <w:t xml:space="preserve">, économiste, </w:t>
      </w:r>
      <w:r w:rsidR="00C929BA">
        <w:t xml:space="preserve">d’Anne Le Roy, économiste, Pierre Le </w:t>
      </w:r>
      <w:proofErr w:type="spellStart"/>
      <w:r w:rsidR="00C929BA">
        <w:t>Quéau</w:t>
      </w:r>
      <w:proofErr w:type="spellEnd"/>
      <w:r w:rsidR="00C929BA">
        <w:t xml:space="preserve">, sociologue, et Fiona Ottaviani, économiste et philosophe. </w:t>
      </w:r>
    </w:p>
  </w:footnote>
  <w:footnote w:id="2">
    <w:p w14:paraId="5A8906B1" w14:textId="342B4591" w:rsidR="002D77B5" w:rsidRDefault="002D77B5">
      <w:pPr>
        <w:pStyle w:val="Notedebasdepage"/>
      </w:pPr>
      <w:r>
        <w:rPr>
          <w:rStyle w:val="Appelnotedebasdep"/>
        </w:rPr>
        <w:footnoteRef/>
      </w:r>
      <w:r>
        <w:t xml:space="preserve"> Ottaviani, 2015, Performativité des indicateurs, indicateurs alternatifs et transformation des modes de rationalisation, UGA, Grenoble, </w:t>
      </w:r>
      <w:r w:rsidRPr="002D77B5">
        <w:t>http://www.theses.fr/2015GREAE003</w:t>
      </w:r>
      <w:r>
        <w:t>.</w:t>
      </w:r>
    </w:p>
  </w:footnote>
  <w:footnote w:id="3">
    <w:p w14:paraId="4FD86C1F" w14:textId="77777777" w:rsidR="00CB5A9C" w:rsidRDefault="00CB5A9C" w:rsidP="00CB5A9C">
      <w:pPr>
        <w:pStyle w:val="Notedebasdepage"/>
      </w:pPr>
      <w:r>
        <w:rPr>
          <w:rStyle w:val="Appelnotedebasdep"/>
        </w:rPr>
        <w:footnoteRef/>
      </w:r>
      <w:r>
        <w:t xml:space="preserve"> Voir les travaux de Jean Viard, sociologue du temps</w:t>
      </w:r>
    </w:p>
  </w:footnote>
  <w:footnote w:id="4">
    <w:p w14:paraId="3CB8B974" w14:textId="5ED048D5" w:rsidR="00984946" w:rsidRDefault="00984946">
      <w:pPr>
        <w:pStyle w:val="Notedebasdepage"/>
      </w:pPr>
      <w:r>
        <w:rPr>
          <w:rStyle w:val="Appelnotedebasdep"/>
        </w:rPr>
        <w:footnoteRef/>
      </w:r>
      <w:r>
        <w:t xml:space="preserve"> </w:t>
      </w:r>
      <w:r w:rsidR="00B26989">
        <w:t xml:space="preserve"> </w:t>
      </w:r>
      <w:proofErr w:type="spellStart"/>
      <w:r w:rsidR="00B26989">
        <w:t>Gadrey</w:t>
      </w:r>
      <w:proofErr w:type="spellEnd"/>
      <w:r w:rsidR="00B26989">
        <w:t xml:space="preserve"> J., 2004,  </w:t>
      </w:r>
      <w:r w:rsidR="00B26989">
        <w:rPr>
          <w:rStyle w:val="Accentuation"/>
        </w:rPr>
        <w:t>L’utilité sociale des organisations de l’économie sociale et solidaire. Une mise en perspective sur la base de travaux récents</w:t>
      </w:r>
      <w:r w:rsidR="00B26989">
        <w:t>, rapport pour la DIES-</w:t>
      </w:r>
      <w:proofErr w:type="spellStart"/>
      <w:r w:rsidR="00B26989">
        <w:t>MiRe</w:t>
      </w:r>
      <w:proofErr w:type="spellEnd"/>
      <w:r w:rsidR="00B26989">
        <w:t>, p.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B0A35"/>
    <w:multiLevelType w:val="hybridMultilevel"/>
    <w:tmpl w:val="14DCBA3E"/>
    <w:lvl w:ilvl="0" w:tplc="DD3266D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8E73B26"/>
    <w:multiLevelType w:val="hybridMultilevel"/>
    <w:tmpl w:val="29C26E74"/>
    <w:lvl w:ilvl="0" w:tplc="C4D6E7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TTAVIANI Fiona">
    <w15:presenceInfo w15:providerId="AD" w15:userId="S-1-5-21-2129151544-1283453499-2245369719-19106"/>
  </w15:person>
  <w15:person w15:author="ANNE LE ROY">
    <w15:presenceInfo w15:providerId="AD" w15:userId="S-1-5-21-2901163039-3281240111-3707936290-4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64"/>
    <w:rsid w:val="00022CA6"/>
    <w:rsid w:val="0002678C"/>
    <w:rsid w:val="00090D9F"/>
    <w:rsid w:val="000A40AD"/>
    <w:rsid w:val="000D1823"/>
    <w:rsid w:val="000F7F0D"/>
    <w:rsid w:val="001372F8"/>
    <w:rsid w:val="00192FC9"/>
    <w:rsid w:val="001A0464"/>
    <w:rsid w:val="001A60D4"/>
    <w:rsid w:val="001D481C"/>
    <w:rsid w:val="001E0505"/>
    <w:rsid w:val="001E0694"/>
    <w:rsid w:val="002066A7"/>
    <w:rsid w:val="00247744"/>
    <w:rsid w:val="00292AFC"/>
    <w:rsid w:val="002A14C4"/>
    <w:rsid w:val="002D77B5"/>
    <w:rsid w:val="00325022"/>
    <w:rsid w:val="00337BBD"/>
    <w:rsid w:val="00365675"/>
    <w:rsid w:val="00457245"/>
    <w:rsid w:val="00472210"/>
    <w:rsid w:val="004A4DA3"/>
    <w:rsid w:val="005064B6"/>
    <w:rsid w:val="0051365A"/>
    <w:rsid w:val="005312B9"/>
    <w:rsid w:val="005378D7"/>
    <w:rsid w:val="00567004"/>
    <w:rsid w:val="00582925"/>
    <w:rsid w:val="006238BA"/>
    <w:rsid w:val="00710670"/>
    <w:rsid w:val="00735497"/>
    <w:rsid w:val="007359E4"/>
    <w:rsid w:val="007531FB"/>
    <w:rsid w:val="007703F0"/>
    <w:rsid w:val="0079609D"/>
    <w:rsid w:val="007B2757"/>
    <w:rsid w:val="008A78F9"/>
    <w:rsid w:val="008D343F"/>
    <w:rsid w:val="008E5660"/>
    <w:rsid w:val="00984946"/>
    <w:rsid w:val="00984B47"/>
    <w:rsid w:val="009A1893"/>
    <w:rsid w:val="009A3F0E"/>
    <w:rsid w:val="009D68FB"/>
    <w:rsid w:val="009E3AB2"/>
    <w:rsid w:val="00A63965"/>
    <w:rsid w:val="00AB68CA"/>
    <w:rsid w:val="00AC5288"/>
    <w:rsid w:val="00AE5ED0"/>
    <w:rsid w:val="00B167D7"/>
    <w:rsid w:val="00B26989"/>
    <w:rsid w:val="00B90937"/>
    <w:rsid w:val="00B91795"/>
    <w:rsid w:val="00BC54FB"/>
    <w:rsid w:val="00C50FA1"/>
    <w:rsid w:val="00C6704B"/>
    <w:rsid w:val="00C871C7"/>
    <w:rsid w:val="00C929BA"/>
    <w:rsid w:val="00CA5602"/>
    <w:rsid w:val="00CB5A9C"/>
    <w:rsid w:val="00CF20C2"/>
    <w:rsid w:val="00DA1A26"/>
    <w:rsid w:val="00DC70C4"/>
    <w:rsid w:val="00E0613B"/>
    <w:rsid w:val="00E16E3B"/>
    <w:rsid w:val="00E347AB"/>
    <w:rsid w:val="00E77F78"/>
    <w:rsid w:val="00E90E63"/>
    <w:rsid w:val="00EE52C4"/>
    <w:rsid w:val="00F61A9C"/>
    <w:rsid w:val="00FC2601"/>
    <w:rsid w:val="00FD3422"/>
    <w:rsid w:val="00FD6610"/>
    <w:rsid w:val="00FD6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670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639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704B"/>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63965"/>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CF20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20C2"/>
    <w:rPr>
      <w:sz w:val="20"/>
      <w:szCs w:val="20"/>
    </w:rPr>
  </w:style>
  <w:style w:type="character" w:styleId="Appelnotedebasdep">
    <w:name w:val="footnote reference"/>
    <w:basedOn w:val="Policepardfaut"/>
    <w:uiPriority w:val="99"/>
    <w:semiHidden/>
    <w:unhideWhenUsed/>
    <w:rsid w:val="00CF20C2"/>
    <w:rPr>
      <w:vertAlign w:val="superscript"/>
    </w:rPr>
  </w:style>
  <w:style w:type="paragraph" w:styleId="Paragraphedeliste">
    <w:name w:val="List Paragraph"/>
    <w:basedOn w:val="Normal"/>
    <w:uiPriority w:val="34"/>
    <w:qFormat/>
    <w:rsid w:val="009A3F0E"/>
    <w:pPr>
      <w:ind w:left="720"/>
      <w:contextualSpacing/>
    </w:pPr>
  </w:style>
  <w:style w:type="paragraph" w:styleId="Textedebulles">
    <w:name w:val="Balloon Text"/>
    <w:basedOn w:val="Normal"/>
    <w:link w:val="TextedebullesCar"/>
    <w:uiPriority w:val="99"/>
    <w:semiHidden/>
    <w:unhideWhenUsed/>
    <w:rsid w:val="005064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64B6"/>
    <w:rPr>
      <w:rFonts w:ascii="Tahoma" w:hAnsi="Tahoma" w:cs="Tahoma"/>
      <w:sz w:val="16"/>
      <w:szCs w:val="16"/>
    </w:rPr>
  </w:style>
  <w:style w:type="character" w:styleId="Lienhypertexte">
    <w:name w:val="Hyperlink"/>
    <w:basedOn w:val="Policepardfaut"/>
    <w:uiPriority w:val="99"/>
    <w:unhideWhenUsed/>
    <w:rsid w:val="00FD66BA"/>
    <w:rPr>
      <w:color w:val="0563C1" w:themeColor="hyperlink"/>
      <w:u w:val="single"/>
    </w:rPr>
  </w:style>
  <w:style w:type="character" w:styleId="Marquedecommentaire">
    <w:name w:val="annotation reference"/>
    <w:basedOn w:val="Policepardfaut"/>
    <w:uiPriority w:val="99"/>
    <w:semiHidden/>
    <w:unhideWhenUsed/>
    <w:rsid w:val="008E5660"/>
    <w:rPr>
      <w:sz w:val="16"/>
      <w:szCs w:val="16"/>
    </w:rPr>
  </w:style>
  <w:style w:type="paragraph" w:styleId="Commentaire">
    <w:name w:val="annotation text"/>
    <w:basedOn w:val="Normal"/>
    <w:link w:val="CommentaireCar"/>
    <w:uiPriority w:val="99"/>
    <w:semiHidden/>
    <w:unhideWhenUsed/>
    <w:rsid w:val="008E5660"/>
    <w:pPr>
      <w:spacing w:line="240" w:lineRule="auto"/>
    </w:pPr>
    <w:rPr>
      <w:sz w:val="20"/>
      <w:szCs w:val="20"/>
    </w:rPr>
  </w:style>
  <w:style w:type="character" w:customStyle="1" w:styleId="CommentaireCar">
    <w:name w:val="Commentaire Car"/>
    <w:basedOn w:val="Policepardfaut"/>
    <w:link w:val="Commentaire"/>
    <w:uiPriority w:val="99"/>
    <w:semiHidden/>
    <w:rsid w:val="008E5660"/>
    <w:rPr>
      <w:sz w:val="20"/>
      <w:szCs w:val="20"/>
    </w:rPr>
  </w:style>
  <w:style w:type="paragraph" w:styleId="Objetducommentaire">
    <w:name w:val="annotation subject"/>
    <w:basedOn w:val="Commentaire"/>
    <w:next w:val="Commentaire"/>
    <w:link w:val="ObjetducommentaireCar"/>
    <w:uiPriority w:val="99"/>
    <w:semiHidden/>
    <w:unhideWhenUsed/>
    <w:rsid w:val="008E5660"/>
    <w:rPr>
      <w:b/>
      <w:bCs/>
    </w:rPr>
  </w:style>
  <w:style w:type="character" w:customStyle="1" w:styleId="ObjetducommentaireCar">
    <w:name w:val="Objet du commentaire Car"/>
    <w:basedOn w:val="CommentaireCar"/>
    <w:link w:val="Objetducommentaire"/>
    <w:uiPriority w:val="99"/>
    <w:semiHidden/>
    <w:rsid w:val="008E5660"/>
    <w:rPr>
      <w:b/>
      <w:bCs/>
      <w:sz w:val="20"/>
      <w:szCs w:val="20"/>
    </w:rPr>
  </w:style>
  <w:style w:type="paragraph" w:styleId="En-tte">
    <w:name w:val="header"/>
    <w:basedOn w:val="Normal"/>
    <w:link w:val="En-tteCar"/>
    <w:uiPriority w:val="99"/>
    <w:unhideWhenUsed/>
    <w:rsid w:val="00AE5ED0"/>
    <w:pPr>
      <w:tabs>
        <w:tab w:val="center" w:pos="4536"/>
        <w:tab w:val="right" w:pos="9072"/>
      </w:tabs>
      <w:spacing w:after="0" w:line="240" w:lineRule="auto"/>
    </w:pPr>
  </w:style>
  <w:style w:type="character" w:customStyle="1" w:styleId="En-tteCar">
    <w:name w:val="En-tête Car"/>
    <w:basedOn w:val="Policepardfaut"/>
    <w:link w:val="En-tte"/>
    <w:uiPriority w:val="99"/>
    <w:rsid w:val="00AE5ED0"/>
  </w:style>
  <w:style w:type="paragraph" w:styleId="Pieddepage">
    <w:name w:val="footer"/>
    <w:basedOn w:val="Normal"/>
    <w:link w:val="PieddepageCar"/>
    <w:uiPriority w:val="99"/>
    <w:unhideWhenUsed/>
    <w:rsid w:val="00AE5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5ED0"/>
  </w:style>
  <w:style w:type="character" w:styleId="Accentuation">
    <w:name w:val="Emphasis"/>
    <w:basedOn w:val="Policepardfaut"/>
    <w:uiPriority w:val="20"/>
    <w:qFormat/>
    <w:rsid w:val="00B269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670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639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704B"/>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63965"/>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CF20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20C2"/>
    <w:rPr>
      <w:sz w:val="20"/>
      <w:szCs w:val="20"/>
    </w:rPr>
  </w:style>
  <w:style w:type="character" w:styleId="Appelnotedebasdep">
    <w:name w:val="footnote reference"/>
    <w:basedOn w:val="Policepardfaut"/>
    <w:uiPriority w:val="99"/>
    <w:semiHidden/>
    <w:unhideWhenUsed/>
    <w:rsid w:val="00CF20C2"/>
    <w:rPr>
      <w:vertAlign w:val="superscript"/>
    </w:rPr>
  </w:style>
  <w:style w:type="paragraph" w:styleId="Paragraphedeliste">
    <w:name w:val="List Paragraph"/>
    <w:basedOn w:val="Normal"/>
    <w:uiPriority w:val="34"/>
    <w:qFormat/>
    <w:rsid w:val="009A3F0E"/>
    <w:pPr>
      <w:ind w:left="720"/>
      <w:contextualSpacing/>
    </w:pPr>
  </w:style>
  <w:style w:type="paragraph" w:styleId="Textedebulles">
    <w:name w:val="Balloon Text"/>
    <w:basedOn w:val="Normal"/>
    <w:link w:val="TextedebullesCar"/>
    <w:uiPriority w:val="99"/>
    <w:semiHidden/>
    <w:unhideWhenUsed/>
    <w:rsid w:val="005064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64B6"/>
    <w:rPr>
      <w:rFonts w:ascii="Tahoma" w:hAnsi="Tahoma" w:cs="Tahoma"/>
      <w:sz w:val="16"/>
      <w:szCs w:val="16"/>
    </w:rPr>
  </w:style>
  <w:style w:type="character" w:styleId="Lienhypertexte">
    <w:name w:val="Hyperlink"/>
    <w:basedOn w:val="Policepardfaut"/>
    <w:uiPriority w:val="99"/>
    <w:unhideWhenUsed/>
    <w:rsid w:val="00FD66BA"/>
    <w:rPr>
      <w:color w:val="0563C1" w:themeColor="hyperlink"/>
      <w:u w:val="single"/>
    </w:rPr>
  </w:style>
  <w:style w:type="character" w:styleId="Marquedecommentaire">
    <w:name w:val="annotation reference"/>
    <w:basedOn w:val="Policepardfaut"/>
    <w:uiPriority w:val="99"/>
    <w:semiHidden/>
    <w:unhideWhenUsed/>
    <w:rsid w:val="008E5660"/>
    <w:rPr>
      <w:sz w:val="16"/>
      <w:szCs w:val="16"/>
    </w:rPr>
  </w:style>
  <w:style w:type="paragraph" w:styleId="Commentaire">
    <w:name w:val="annotation text"/>
    <w:basedOn w:val="Normal"/>
    <w:link w:val="CommentaireCar"/>
    <w:uiPriority w:val="99"/>
    <w:semiHidden/>
    <w:unhideWhenUsed/>
    <w:rsid w:val="008E5660"/>
    <w:pPr>
      <w:spacing w:line="240" w:lineRule="auto"/>
    </w:pPr>
    <w:rPr>
      <w:sz w:val="20"/>
      <w:szCs w:val="20"/>
    </w:rPr>
  </w:style>
  <w:style w:type="character" w:customStyle="1" w:styleId="CommentaireCar">
    <w:name w:val="Commentaire Car"/>
    <w:basedOn w:val="Policepardfaut"/>
    <w:link w:val="Commentaire"/>
    <w:uiPriority w:val="99"/>
    <w:semiHidden/>
    <w:rsid w:val="008E5660"/>
    <w:rPr>
      <w:sz w:val="20"/>
      <w:szCs w:val="20"/>
    </w:rPr>
  </w:style>
  <w:style w:type="paragraph" w:styleId="Objetducommentaire">
    <w:name w:val="annotation subject"/>
    <w:basedOn w:val="Commentaire"/>
    <w:next w:val="Commentaire"/>
    <w:link w:val="ObjetducommentaireCar"/>
    <w:uiPriority w:val="99"/>
    <w:semiHidden/>
    <w:unhideWhenUsed/>
    <w:rsid w:val="008E5660"/>
    <w:rPr>
      <w:b/>
      <w:bCs/>
    </w:rPr>
  </w:style>
  <w:style w:type="character" w:customStyle="1" w:styleId="ObjetducommentaireCar">
    <w:name w:val="Objet du commentaire Car"/>
    <w:basedOn w:val="CommentaireCar"/>
    <w:link w:val="Objetducommentaire"/>
    <w:uiPriority w:val="99"/>
    <w:semiHidden/>
    <w:rsid w:val="008E5660"/>
    <w:rPr>
      <w:b/>
      <w:bCs/>
      <w:sz w:val="20"/>
      <w:szCs w:val="20"/>
    </w:rPr>
  </w:style>
  <w:style w:type="paragraph" w:styleId="En-tte">
    <w:name w:val="header"/>
    <w:basedOn w:val="Normal"/>
    <w:link w:val="En-tteCar"/>
    <w:uiPriority w:val="99"/>
    <w:unhideWhenUsed/>
    <w:rsid w:val="00AE5ED0"/>
    <w:pPr>
      <w:tabs>
        <w:tab w:val="center" w:pos="4536"/>
        <w:tab w:val="right" w:pos="9072"/>
      </w:tabs>
      <w:spacing w:after="0" w:line="240" w:lineRule="auto"/>
    </w:pPr>
  </w:style>
  <w:style w:type="character" w:customStyle="1" w:styleId="En-tteCar">
    <w:name w:val="En-tête Car"/>
    <w:basedOn w:val="Policepardfaut"/>
    <w:link w:val="En-tte"/>
    <w:uiPriority w:val="99"/>
    <w:rsid w:val="00AE5ED0"/>
  </w:style>
  <w:style w:type="paragraph" w:styleId="Pieddepage">
    <w:name w:val="footer"/>
    <w:basedOn w:val="Normal"/>
    <w:link w:val="PieddepageCar"/>
    <w:uiPriority w:val="99"/>
    <w:unhideWhenUsed/>
    <w:rsid w:val="00AE5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5ED0"/>
  </w:style>
  <w:style w:type="character" w:styleId="Accentuation">
    <w:name w:val="Emphasis"/>
    <w:basedOn w:val="Policepardfaut"/>
    <w:uiPriority w:val="20"/>
    <w:qFormat/>
    <w:rsid w:val="00B26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ene.clot@lametro.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ses.fr/19383526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reg.univ-grenoble-alpes.fr/version-francaise/operations-de-recherche/projet-ibest-174980.htm?RH=cre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BE1F-71C8-4536-A6FA-931EDB0E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2128</Words>
  <Characters>11707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METRO</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CLOT</dc:creator>
  <cp:lastModifiedBy>Helene Clot</cp:lastModifiedBy>
  <cp:revision>8</cp:revision>
  <dcterms:created xsi:type="dcterms:W3CDTF">2017-11-12T21:16:00Z</dcterms:created>
  <dcterms:modified xsi:type="dcterms:W3CDTF">2018-06-15T07:19:00Z</dcterms:modified>
</cp:coreProperties>
</file>